
<file path=[Content_Types].xml><?xml version="1.0" encoding="utf-8"?>
<Types xmlns="http://schemas.openxmlformats.org/package/2006/content-types">
  <Default Extension="rels" ContentType="application/vnd.openxmlformats-package.relationships+xml"/>
  <Default Extension="jpeg" ContentType="image/jpeg"/>
  <Default Extension="png" ContentType="image/png"/>
  <Default Extension="svg" ContentType="image/svg+xml"/>
  <Default Extension="xml" ContentType="application/xml"/>
  <Override PartName="/_rels/.rels" ContentType="application/vnd.openxmlformats-package.relationships+xml"/>
  <Override PartName="/word/_rels/document.xml.rels" ContentType="application/vnd.openxmlformats-package.relationship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theme/theme1.xml" ContentType="application/vnd.openxmlformats-officedocument.theme+xml"/>
  <Override PartName="/word/fontTable.xml" ContentType="application/vnd.openxmlformats-officedocument.wordprocessingml.fontTable+xml"/>
  <Override PartName="/docProps/core.xml" ContentType="application/vnd.openxmlformats-package.core-properties+xml"/>
  <Override PartName="/word/settings.xml" ContentType="application/vnd.openxmlformats-officedocument.wordprocessingml.settings+xml"/>
  <Override PartName="/word/webSettings.xml" ContentType="application/vnd.openxmlformats-officedocument.wordprocessingml.webSettings+xml"/>
  <Override PartName="/word/footer1.xml" ContentType="application/vnd.openxmlformats-officedocument.wordprocessingml.footer+xml"/>
</Types>
</file>

<file path=_rels/.rels><?xml version="1.0" encoding="UTF-8" standalone="yes"?>
<Relationships xmlns="http://schemas.openxmlformats.org/package/2006/relationships">
  <Relationship Id="rId1" Type="http://schemas.openxmlformats.org/officeDocument/2006/relationships/officeDocument" Target="word/document.xml"/>
  <Relationship Id="rId2" Type="http://schemas.openxmlformats.org/package/2006/relationships/metadata/core-properties" Target="docProps/core.xml"/>
</Relationships>
</file>

<file path=word/document.xml><?xml version="1.0" encoding="utf-8"?>
<w:document xmlns:a="http://schemas.openxmlformats.org/drawingml/2006/main" xmlns:cdr="http://schemas.openxmlformats.org/drawingml/2006/chartDrawing" xmlns:o="urn:schemas-microsoft-com:office:office" xmlns:pic="http://schemas.openxmlformats.org/drawingml/2006/picture" xmlns:r="http://schemas.openxmlformats.org/officeDocument/2006/relationships" xmlns:v="urn:schemas-microsoft-com:vml" xmlns:ve="http://schemas.openxmlformats.org/markup-compatibility/2006" xmlns:vt="http://schemas.openxmlformats.org/officeDocument/2006/docPropsVTypes" xmlns:w="http://schemas.openxmlformats.org/wordprocessingml/2006/main" xmlns:w10="urn:schemas-microsoft-com:office:word" xmlns:wp="http://schemas.openxmlformats.org/drawingml/2006/wordprocessingDrawing" xmlns:wne="http://schemas.microsoft.com/office/word/2006/wordml">
  <w:body>
    <w:sectPr>
      <w:pgSz w:w="12240" w:h="15840" w:orient="portrait"/>
      <w:pgMar w:top="1440" w:right="1800" w:bottom="1440" w:left="1800" w:header="720" w:footer="720" w:gutter="0"/>
      <w:footerReference r:id="rId9" w:type="default"/>
    </w:sectPr>
    <w:p>
      <w:pPr>
        <w:spacing w:lineRule="auto"/>
      </w:pPr>
      <w:r>
        <w:rPr/>
        <w:t xml:space="preserve"/>
      </w:r>
    </w:p>
    <w:p>
      <w:pPr>
        <w:pStyle w:val="Heading1"/>
        <w:spacing w:lineRule="auto"/>
      </w:pPr>
      <w:r>
        <w:rPr/>
        <w:t xml:space="preserve">Custom Domains</w:t>
      </w:r>
    </w:p>
    <w:p>
      <w:pPr>
        <w:spacing w:lineRule="auto"/>
      </w:pPr>
      <w:r>
        <w:rPr>
          <w:i/>
        </w:rPr>
        <w:t xml:space="preserve">Docvora allows custom domains to be used on its Pro and Enterprise plans. This way Docvora customers don't have to use the Docvora domains. This page covers the configuration of Custom Domains. Custom Domain Setup To configure custom domains the below addresses and records need to be set for the domain. Configure a DNS record with the below data. Record Type A Record Host @ Content / Data / Value 67.227.64.22 Priority / TTL (Leave as default) The Content IP address may differ depending on the proxy your instance is on. A different address may appear on the Docvora site when changing the domain. Save the DNS configuration. Next login to docvora.com and navigate to your instance to configure the new domain. Check the 'Use Custom Domain' box. Enter your domain to configure to Docvora. Click save and wait up to 20 minutes for Docvora to update the domain. Setting the new domain may take extra time if the newly created DNS records have not propagated yet. Please contact Docvora support if the time has been extensive for the change.</w:t>
      </w:r>
    </w:p>
    <w:p>
      <w:pPr>
        <w:spacing w:lineRule="auto"/>
      </w:pPr>
      <w:r>
        <w:rPr/>
        <w:t xml:space="preserve">Docvora allows custom domains to be used on its Pro and Enterprise plans. This way Docvora customers don't have to use the Docvora domains. This page covers the configuration of Custom Domains.</w:t>
      </w:r>
    </w:p>
    <w:p>
      <w:pPr>
        <w:spacing w:lineRule="auto"/>
      </w:pPr>
      <w:r>
        <w:rPr/>
      </w:r>
    </w:p>
    <w:p>
      <w:pPr>
        <w:pStyle w:val="Heading2"/>
        <w:spacing w:lineRule="auto"/>
      </w:pPr>
      <w:r>
        <w:rPr/>
        <w:t xml:space="preserve">Custom Domain Setup</w:t>
      </w:r>
    </w:p>
    <w:p>
      <w:pPr>
        <w:spacing w:lineRule="auto"/>
      </w:pPr>
      <w:r>
        <w:rPr/>
        <w:t xml:space="preserve">To configure custom domains the below addresses and records need to be set for the domain.</w:t>
      </w:r>
    </w:p>
    <w:p>
      <w:pPr>
        <w:numPr>
          <w:ilvl w:val="0"/>
          <w:numId w:val="1"/>
        </w:numPr>
        <w:spacing w:lineRule="auto"/>
      </w:pPr>
      <w:r>
        <w:rPr/>
        <w:t xml:space="preserve">Configure a DNS record with the below data.</w:t>
      </w:r>
    </w:p>
    <w:tbl>
      <w:tblPr>
        <w:tblBorders>
          <w:top w:val="single" w:sz="1" w:space="0" w:color="BFBFBF"/>
          <w:bottom w:val="single" w:sz="1" w:space="0" w:color="BFBFBF"/>
          <w:left w:val="single" w:sz="1" w:space="0" w:color="BFBFBF"/>
          <w:right w:val="single" w:sz="1" w:space="0" w:color="BFBFBF"/>
        </w:tblBorders>
        <w:tblW w:type="dxa" w:w="3960"/>
        <w:tblCellMar>
          <w:top w:type="dxa" w:w="80"/>
          <w:bottom w:type="dxa" w:w="80"/>
          <w:left w:type="dxa" w:w="160"/>
          <w:right w:type="dxa" w:w="160"/>
        </w:tblCellMar>
        <w:jc w:val="center"/>
      </w:tblPr>
      <w:tblGrid>
        <w:gridCol w:w="4320"/>
        <w:gridCol w:w="4320"/>
      </w:tblGrid>
      <w:tr>
        <w:trPr>
          <w:cantSplit/>
        </w:trPr>
        <w:tc>
          <w:tcPr>
            <w:tcBorders>
              <w:top w:val="single" w:sz="1" w:space="0" w:color="BFBFBF"/>
              <w:bottom w:val="single" w:sz="1" w:space="0" w:color="BFBFBF"/>
              <w:left w:val="single" w:sz="1" w:space="0" w:color="BFBFBF"/>
              <w:right w:val="single" w:sz="1" w:space="0" w:color="BFBFBF"/>
            </w:tcBorders>
            <w:vMerge w:val="restart"/>
            <w:gridSpan w:val="1"/>
          </w:tcPr>
          <w:p>
            <w:pPr>
              <w:spacing w:lineRule="auto"/>
            </w:pPr>
            <w:r>
              <w:rPr/>
              <w:t xml:space="preserve">Record Type</w:t>
            </w:r>
          </w:p>
        </w:tc>
        <w:tc>
          <w:tcPr>
            <w:tcBorders>
              <w:top w:val="single" w:sz="1" w:space="0" w:color="BFBFBF"/>
              <w:bottom w:val="single" w:sz="1" w:space="0" w:color="BFBFBF"/>
              <w:left w:val="single" w:sz="1" w:space="0" w:color="BFBFBF"/>
              <w:right w:val="single" w:sz="1" w:space="0" w:color="BFBFBF"/>
            </w:tcBorders>
            <w:vMerge w:val="restart"/>
            <w:gridSpan w:val="1"/>
          </w:tcPr>
          <w:p>
            <w:pPr>
              <w:spacing w:lineRule="auto"/>
            </w:pPr>
            <w:r>
              <w:rPr/>
              <w:t xml:space="preserve">A Record</w:t>
            </w:r>
          </w:p>
        </w:tc>
      </w:tr>
      <w:tr>
        <w:trPr>
          <w:cantSplit/>
        </w:trPr>
        <w:tc>
          <w:tcPr>
            <w:tcBorders>
              <w:top w:val="single" w:sz="1" w:space="0" w:color="BFBFBF"/>
              <w:bottom w:val="single" w:sz="1" w:space="0" w:color="BFBFBF"/>
              <w:left w:val="single" w:sz="1" w:space="0" w:color="BFBFBF"/>
              <w:right w:val="single" w:sz="1" w:space="0" w:color="BFBFBF"/>
            </w:tcBorders>
            <w:vMerge w:val="restart"/>
            <w:gridSpan w:val="1"/>
          </w:tcPr>
          <w:p>
            <w:pPr>
              <w:spacing w:lineRule="auto"/>
            </w:pPr>
            <w:r>
              <w:rPr/>
              <w:t xml:space="preserve">Host</w:t>
            </w:r>
          </w:p>
        </w:tc>
        <w:tc>
          <w:tcPr>
            <w:tcBorders>
              <w:top w:val="single" w:sz="1" w:space="0" w:color="BFBFBF"/>
              <w:bottom w:val="single" w:sz="1" w:space="0" w:color="BFBFBF"/>
              <w:left w:val="single" w:sz="1" w:space="0" w:color="BFBFBF"/>
              <w:right w:val="single" w:sz="1" w:space="0" w:color="BFBFBF"/>
            </w:tcBorders>
            <w:vMerge w:val="restart"/>
            <w:gridSpan w:val="1"/>
          </w:tcPr>
          <w:p>
            <w:pPr>
              <w:spacing w:lineRule="auto"/>
            </w:pPr>
            <w:r>
              <w:rPr/>
              <w:t xml:space="preserve">@</w:t>
            </w:r>
          </w:p>
        </w:tc>
      </w:tr>
      <w:tr>
        <w:trPr>
          <w:cantSplit/>
        </w:trPr>
        <w:tc>
          <w:tcPr>
            <w:tcBorders>
              <w:top w:val="single" w:sz="1" w:space="0" w:color="BFBFBF"/>
              <w:bottom w:val="single" w:sz="1" w:space="0" w:color="BFBFBF"/>
              <w:left w:val="single" w:sz="1" w:space="0" w:color="BFBFBF"/>
              <w:right w:val="single" w:sz="1" w:space="0" w:color="BFBFBF"/>
            </w:tcBorders>
            <w:vMerge w:val="restart"/>
            <w:gridSpan w:val="1"/>
          </w:tcPr>
          <w:p>
            <w:pPr>
              <w:spacing w:lineRule="auto"/>
            </w:pPr>
            <w:r>
              <w:rPr/>
              <w:t xml:space="preserve">Content / Data / Value</w:t>
            </w:r>
          </w:p>
        </w:tc>
        <w:tc>
          <w:tcPr>
            <w:tcBorders>
              <w:top w:val="single" w:sz="1" w:space="0" w:color="BFBFBF"/>
              <w:bottom w:val="single" w:sz="1" w:space="0" w:color="BFBFBF"/>
              <w:left w:val="single" w:sz="1" w:space="0" w:color="BFBFBF"/>
              <w:right w:val="single" w:sz="1" w:space="0" w:color="BFBFBF"/>
            </w:tcBorders>
            <w:vMerge w:val="restart"/>
            <w:gridSpan w:val="1"/>
          </w:tcPr>
          <w:p>
            <w:pPr>
              <w:spacing w:lineRule="auto"/>
            </w:pPr>
            <w:r>
              <w:rPr/>
              <w:t xml:space="preserve">67.227.64.22</w:t>
            </w:r>
          </w:p>
        </w:tc>
      </w:tr>
      <w:tr>
        <w:trPr>
          <w:cantSplit/>
        </w:trPr>
        <w:tc>
          <w:tcPr>
            <w:tcBorders>
              <w:top w:val="single" w:sz="1" w:space="0" w:color="BFBFBF"/>
              <w:bottom w:val="single" w:sz="1" w:space="0" w:color="BFBFBF"/>
              <w:left w:val="single" w:sz="1" w:space="0" w:color="BFBFBF"/>
              <w:right w:val="single" w:sz="1" w:space="0" w:color="BFBFBF"/>
            </w:tcBorders>
            <w:vMerge w:val="restart"/>
            <w:gridSpan w:val="1"/>
          </w:tcPr>
          <w:p>
            <w:pPr>
              <w:spacing w:lineRule="auto"/>
            </w:pPr>
            <w:r>
              <w:rPr/>
              <w:t xml:space="preserve">Priority / TTL</w:t>
            </w:r>
          </w:p>
        </w:tc>
        <w:tc>
          <w:tcPr>
            <w:tcBorders>
              <w:top w:val="single" w:sz="1" w:space="0" w:color="BFBFBF"/>
              <w:bottom w:val="single" w:sz="1" w:space="0" w:color="BFBFBF"/>
              <w:left w:val="single" w:sz="1" w:space="0" w:color="BFBFBF"/>
              <w:right w:val="single" w:sz="1" w:space="0" w:color="BFBFBF"/>
            </w:tcBorders>
            <w:vMerge w:val="restart"/>
            <w:gridSpan w:val="1"/>
          </w:tcPr>
          <w:p>
            <w:pPr>
              <w:spacing w:lineRule="auto"/>
            </w:pPr>
            <w:r>
              <w:rPr/>
              <w:t xml:space="preserve">(Leave as default)</w:t>
            </w:r>
          </w:p>
        </w:tc>
      </w:tr>
    </w:tbl>
    <w:p>
      <w:pPr>
        <w:spacing w:lineRule="auto"/>
      </w:pPr>
      <w:r>
        <w:rPr/>
      </w:r>
    </w:p>
    <w:tbl>
      <w:tblPr>
        <w:tblBorders>
          <w:top w:val="single" w:sz="1" w:space="0" w:color="BFBFBF"/>
          <w:bottom w:val="single" w:sz="1" w:space="0" w:color="BFBFBF"/>
          <w:left w:val="single" w:sz="1" w:space="0" w:color="BFBFBF"/>
          <w:right w:val="single" w:sz="1" w:space="0" w:color="BFBFBF"/>
        </w:tblBorders>
        <w:tblW w:type="dxa" w:w="8640"/>
        <w:tblCellMar>
          <w:top w:type="dxa" w:w="80"/>
          <w:bottom w:type="dxa" w:w="80"/>
          <w:left w:type="dxa" w:w="160"/>
          <w:right w:type="dxa" w:w="160"/>
        </w:tblCellMar>
        <w:jc w:val="center"/>
      </w:tblPr>
      <w:tblGrid>
        <w:gridCol w:w="8640"/>
      </w:tblGrid>
      <w:tr>
        <w:trPr>
          <w:cantSplit/>
        </w:trPr>
        <w:tc>
          <w:tcPr>
            <w:tcBorders>
              <w:top w:val="single" w:sz="8" w:space="0" w:color="E0A800"/>
              <w:bottom w:val="single" w:sz="8" w:space="0" w:color="E0A800"/>
              <w:left w:val="single" w:sz="8" w:space="0" w:color="E0A800"/>
              <w:right w:val="single" w:sz="8" w:space="0" w:color="E0A800"/>
            </w:tcBorders>
            <w:shd w:val="clear" w:fill="FEF6DC"/>
          </w:tcPr>
          <w:p>
            <w:pPr>
              <w:spacing w:lineRule="auto"/>
            </w:pPr>
            <w:r>
              <w:rPr>
                <w:b/>
              </w:rPr>
              <w:t xml:space="preserve">Warning:</w:t>
            </w:r>
            <w:r>
              <w:rPr/>
              <w:t xml:space="preserve"> The Content IP address may differ depending on the proxy your instance is on. A different address may appear on the Docvora site when changing the domain.</w:t>
            </w:r>
          </w:p>
        </w:tc>
      </w:tr>
    </w:tbl>
    <w:p>
      <w:pPr>
        <w:spacing w:lineRule="auto"/>
      </w:pPr>
      <w:r>
        <w:rPr/>
      </w:r>
    </w:p>
    <w:p>
      <w:pPr>
        <w:numPr>
          <w:ilvl w:val="0"/>
          <w:numId w:val="2"/>
        </w:numPr>
        <w:spacing w:lineRule="auto"/>
      </w:pPr>
      <w:r>
        <w:rPr/>
        <w:t xml:space="preserve">Save the DNS configuration.</w:t>
      </w:r>
    </w:p>
    <w:p>
      <w:pPr>
        <w:numPr>
          <w:ilvl w:val="0"/>
          <w:numId w:val="3"/>
        </w:numPr>
        <w:spacing w:lineRule="auto"/>
      </w:pPr>
      <w:r>
        <w:rPr/>
        <w:t xml:space="preserve">Next login to </w:t>
      </w:r>
      <w:hyperlink r:id="rId6">
        <w:r>
          <w:rPr>
            <w:rStyle w:val="Hyperlink"/>
          </w:rPr>
          <w:t xml:space="preserve">docvora.com</w:t>
        </w:r>
      </w:hyperlink>
      <w:r>
        <w:rPr/>
        <w:t xml:space="preserve"> and navigate to your instance to configure the new domain.</w:t>
      </w:r>
    </w:p>
    <w:p>
      <w:pPr>
        <w:numPr>
          <w:ilvl w:val="0"/>
          <w:numId w:val="3"/>
        </w:numPr>
        <w:spacing w:lineRule="auto"/>
      </w:pPr>
      <w:r>
        <w:rPr/>
        <w:t xml:space="preserve">Check the 'Use Custom Domain' box.</w:t>
      </w:r>
    </w:p>
    <w:p>
      <w:pPr>
        <w:numPr>
          <w:ilvl w:val="0"/>
          <w:numId w:val="3"/>
        </w:numPr>
        <w:spacing w:lineRule="auto"/>
      </w:pPr>
      <w:r>
        <w:rPr/>
        <w:t xml:space="preserve">Enter your domain to configure to Docvora.</w:t>
      </w:r>
    </w:p>
    <w:p>
      <w:pPr>
        <w:numPr>
          <w:ilvl w:val="0"/>
          <w:numId w:val="null"/>
        </w:numPr>
        <w:spacing w:lineRule="auto"/>
      </w:pPr>
      <w:hyperlink r:id="rId7">
        <w:r>
          <w:rPr>
            <w:rStyle w:val="Hyperlink"/>
          </w:rPr>
          <w:t xml:space="preserve">Image</w:t>
        </w:r>
      </w:hyperlink>
    </w:p>
    <w:p>
      <w:pPr>
        <w:numPr>
          <w:ilvl w:val="0"/>
          <w:numId w:val="3"/>
        </w:numPr>
        <w:spacing w:lineRule="auto"/>
      </w:pPr>
      <w:r>
        <w:rPr/>
        <w:t xml:space="preserve">Click save and wait up to 20 minutes for Docvora to update the domain.</w:t>
      </w:r>
    </w:p>
    <w:tbl>
      <w:tblPr>
        <w:tblBorders>
          <w:top w:val="single" w:sz="1" w:space="0" w:color="BFBFBF"/>
          <w:bottom w:val="single" w:sz="1" w:space="0" w:color="BFBFBF"/>
          <w:left w:val="single" w:sz="1" w:space="0" w:color="BFBFBF"/>
          <w:right w:val="single" w:sz="1" w:space="0" w:color="BFBFBF"/>
        </w:tblBorders>
        <w:tblW w:type="dxa" w:w="8640"/>
        <w:tblCellMar>
          <w:top w:type="dxa" w:w="80"/>
          <w:bottom w:type="dxa" w:w="80"/>
          <w:left w:type="dxa" w:w="160"/>
          <w:right w:type="dxa" w:w="160"/>
        </w:tblCellMar>
        <w:jc w:val="center"/>
      </w:tblPr>
      <w:tblGrid>
        <w:gridCol w:w="8640"/>
      </w:tblGrid>
      <w:tr>
        <w:trPr>
          <w:cantSplit/>
        </w:trPr>
        <w:tc>
          <w:tcPr>
            <w:tcBorders>
              <w:top w:val="single" w:sz="8" w:space="0" w:color="F15B50"/>
              <w:bottom w:val="single" w:sz="8" w:space="0" w:color="F15B50"/>
              <w:left w:val="single" w:sz="8" w:space="0" w:color="F15B50"/>
              <w:right w:val="single" w:sz="8" w:space="0" w:color="F15B50"/>
            </w:tcBorders>
            <w:shd w:val="clear" w:fill="FDECEA"/>
          </w:tcPr>
          <w:p>
            <w:pPr>
              <w:spacing w:lineRule="auto"/>
            </w:pPr>
            <w:r>
              <w:rPr>
                <w:b/>
              </w:rPr>
              <w:t xml:space="preserve">Error:</w:t>
            </w:r>
            <w:r>
              <w:rPr/>
              <w:t xml:space="preserve"> Setting the new domain may take extra time if the newly created DNS records have not propagated yet.</w:t>
            </w:r>
          </w:p>
          <w:p>
            <w:pPr>
              <w:spacing w:lineRule="auto"/>
            </w:pPr>
            <w:r>
              <w:rPr/>
              <w:t xml:space="preserve">Please </w:t>
            </w:r>
            <w:hyperlink r:id="rId8">
              <w:r>
                <w:rPr>
                  <w:rStyle w:val="Hyperlink"/>
                </w:rPr>
                <w:t xml:space="preserve">contact Docvora support</w:t>
              </w:r>
            </w:hyperlink>
            <w:r>
              <w:rPr/>
              <w:t xml:space="preserve"> if the time has been extensive for the change.</w:t>
            </w:r>
          </w:p>
        </w:tc>
      </w:tr>
    </w:tbl>
    <w:p>
      <w:pPr>
        <w:spacing w:lineRule="auto"/>
      </w:pPr>
      <w:r>
        <w:rPr/>
      </w:r>
    </w:p>
    <w:p>
      <w:pPr>
        <w:spacing w:lineRule="auto"/>
      </w:pPr>
      <w:r>
        <w:rPr/>
      </w:r>
    </w:p>
  </w:body>
</w:document>
</file>

<file path=word/fontTable.xml><?xml version="1.0" encoding="utf-8"?>
<w:fonts xmlns:r="http://schemas.openxmlformats.org/officeDocument/2006/relationships" xmlns:w="http://schemas.openxmlformats.org/wordprocessingml/2006/main">
  <w:font w:name="Arial">
    <w:panose1 w:val="020B0604020202020204"/>
    <w:charset w:val="00"/>
    <w:family w:val="auto"/>
    <w:pitch w:val="variable"/>
    <w:sig w:usb0="00000003" w:usb1="00000000" w:usb2="00000000" w:usb3="00000000" w:csb0="00000001" w:csb1="00000000"/>
  </w:font>
  <w:font w:name="Calibri">
    <w:panose1 w:val="020F0502020204030204"/>
    <w:charset w:val="00"/>
    <w:family w:val="swiss"/>
    <w:pitch w:val="variable"/>
    <w:sig w:usb0="E4002EFF" w:usb1="C000247B" w:usb2="00000009" w:usb3="00000000" w:csb0="000001FF" w:csb1="00000000"/>
  </w:font>
  <w:font w:name="Calibri Light">
    <w:panose1 w:val="020F0302020204030204"/>
    <w:charset w:val="00"/>
    <w:family w:val="swiss"/>
    <w:pitch w:val="variable"/>
    <w:sig w:usb0="E4002EFF" w:usb1="C000247B" w:usb2="00000009" w:usb3="00000000" w:csb0="000001FF" w:csb1="00000000"/>
  </w:font>
  <w:font w:name="Courier New">
    <w:panose1 w:val="02070309020205020404"/>
    <w:charset w:val="00"/>
    <w:family w:val="auto"/>
    <w:pitch w:val="variable"/>
    <w:sig w:usb0="00000003" w:usb1="00000000" w:usb2="00000000" w:usb3="00000000" w:csb0="00000001" w:csb1="00000000"/>
  </w:font>
  <w:font w:name="Symbol">
    <w:panose1 w:val="05050102010706020507"/>
    <w:charset w:val="02"/>
    <w:family w:val="decorative"/>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s>
</file>

<file path=word/footer1.xml><?xml version="1.0" encoding="utf-8"?>
<ftr xmlns="http://schemas.openxmlformats.org/wordprocessingml/2006/main">
  <p>
    <pPr>
      <spacing xmlns:ns1="http://schemas.openxmlformats.org/wordprocessingml/2006/main" ns1:lineRule="auto"/>
    </pPr>
    <r>
      <rPr/>
    </r>
    <fldSimple xmlns:ns2="http://schemas.openxmlformats.org/wordprocessingml/2006/main" ns2:instr="PAGE">
      <r/>
    </fldSimple>
  </p>
</ftr>
</file>

<file path=word/numbering.xml><?xml version="1.0" encoding="utf-8"?>
<w:numbering xmlns:w="http://schemas.openxmlformats.org/wordprocessingml/2006/main" xmlns:ve="http://schemas.openxmlformats.org/markup-compatibility/2006" xmlns:o="urn:schemas-microsoft-com:office:office" xmlns:r="http://schemas.openxmlformats.org/officeDocument/2006/relationships" xmlns:v="urn:schemas-microsoft-com:vml" xmlns:wp="http://schemas.openxmlformats.org/drawingml/2006/wordprocessingDrawing" xmlns:w10="urn:schemas-microsoft-com:office:word" xmlns:wne="http://schemas.microsoft.com/office/word/2006/wordml">
  <w:abstractNum w:abstractNumId="1">
    <w:lvl w:ilvl="0">
      <w:start w:val="1"/>
      <w:numFmt w:val="decimal"/>
      <w:lvlText w:val="%1."/>
      <w:lvlJc w:val="left"/>
      <w:pPr>
        <w:tabs>
          <w:tab w:val="num" w:pos="720"/>
        </w:tabs>
        <w:ind w:left="720" w:hanging="360"/>
      </w:pPr>
    </w:lvl>
    <w:lvl w:ilvl="1">
      <w:start w:val="1"/>
      <w:numFmt w:val="decimal"/>
      <w:lvlText w:val="%2."/>
      <w:lvlJc w:val="left"/>
      <w:pPr>
        <w:tabs>
          <w:tab w:val="num" w:pos="1440"/>
        </w:tabs>
        <w:ind w:left="1440" w:hanging="360"/>
      </w:pPr>
    </w:lvl>
    <w:lvl w:ilvl="2">
      <w:start w:val="1"/>
      <w:numFmt w:val="decimal"/>
      <w:lvlText w:val="%3."/>
      <w:lvlJc w:val="left"/>
      <w:pPr>
        <w:tabs>
          <w:tab w:val="num" w:pos="2160"/>
        </w:tabs>
        <w:ind w:left="2160" w:hanging="360"/>
      </w:pPr>
    </w:lvl>
    <w:lvl w:ilvl="3">
      <w:start w:val="1"/>
      <w:numFmt w:val="decimal"/>
      <w:lvlText w:val="%4."/>
      <w:lvlJc w:val="left"/>
      <w:pPr>
        <w:tabs>
          <w:tab w:val="num" w:pos="2880"/>
        </w:tabs>
        <w:ind w:left="2880" w:hanging="360"/>
      </w:pPr>
    </w:lvl>
    <w:lvl w:ilvl="4">
      <w:start w:val="1"/>
      <w:numFmt w:val="decimal"/>
      <w:lvlText w:val="%5."/>
      <w:lvlJc w:val="left"/>
      <w:pPr>
        <w:tabs>
          <w:tab w:val="num" w:pos="3600"/>
        </w:tabs>
        <w:ind w:left="3600" w:hanging="360"/>
      </w:pPr>
    </w:lvl>
    <w:lvl w:ilvl="5">
      <w:start w:val="1"/>
      <w:numFmt w:val="decimal"/>
      <w:lvlText w:val="%6."/>
      <w:lvlJc w:val="left"/>
      <w:pPr>
        <w:tabs>
          <w:tab w:val="num" w:pos="4320"/>
        </w:tabs>
        <w:ind w:left="4320" w:hanging="360"/>
      </w:pPr>
    </w:lvl>
    <w:lvl w:ilvl="6">
      <w:start w:val="1"/>
      <w:numFmt w:val="decimal"/>
      <w:lvlText w:val="%7."/>
      <w:lvlJc w:val="left"/>
      <w:pPr>
        <w:tabs>
          <w:tab w:val="num" w:pos="5040"/>
        </w:tabs>
        <w:ind w:left="5040" w:hanging="360"/>
      </w:pPr>
    </w:lvl>
    <w:lvl w:ilvl="7">
      <w:start w:val="1"/>
      <w:numFmt w:val="decimal"/>
      <w:lvlText w:val="%8."/>
      <w:lvlJc w:val="left"/>
      <w:pPr>
        <w:tabs>
          <w:tab w:val="num" w:pos="5760"/>
        </w:tabs>
        <w:ind w:left="5760" w:hanging="360"/>
      </w:pPr>
    </w:lvl>
    <w:lvl w:ilvl="8">
      <w:start w:val="1"/>
      <w:numFmt w:val="decimal"/>
      <w:lvlText w:val="%9."/>
      <w:lvlJc w:val="left"/>
      <w:pPr>
        <w:tabs>
          <w:tab w:val="num" w:pos="6480"/>
        </w:tabs>
        <w:ind w:left="6480" w:hanging="360"/>
      </w:pPr>
    </w:lvl>
  </w:abstractNum>
  <w:abstractNum w:abstractNumId="2">
    <w:lvl w:ilvl="0">
      <w:start w:val="2"/>
      <w:numFmt w:val="decimal"/>
      <w:lvlText w:val="%1."/>
      <w:lvlJc w:val="left"/>
      <w:pPr>
        <w:tabs>
          <w:tab w:val="num" w:pos="720"/>
        </w:tabs>
        <w:ind w:left="720" w:hanging="360"/>
      </w:pPr>
    </w:lvl>
    <w:lvl w:ilvl="1">
      <w:start w:val="2"/>
      <w:numFmt w:val="decimal"/>
      <w:lvlText w:val="%2."/>
      <w:lvlJc w:val="left"/>
      <w:pPr>
        <w:tabs>
          <w:tab w:val="num" w:pos="1440"/>
        </w:tabs>
        <w:ind w:left="1440" w:hanging="360"/>
      </w:pPr>
    </w:lvl>
    <w:lvl w:ilvl="2">
      <w:start w:val="2"/>
      <w:numFmt w:val="decimal"/>
      <w:lvlText w:val="%3."/>
      <w:lvlJc w:val="left"/>
      <w:pPr>
        <w:tabs>
          <w:tab w:val="num" w:pos="2160"/>
        </w:tabs>
        <w:ind w:left="2160" w:hanging="360"/>
      </w:pPr>
    </w:lvl>
    <w:lvl w:ilvl="3">
      <w:start w:val="2"/>
      <w:numFmt w:val="decimal"/>
      <w:lvlText w:val="%4."/>
      <w:lvlJc w:val="left"/>
      <w:pPr>
        <w:tabs>
          <w:tab w:val="num" w:pos="2880"/>
        </w:tabs>
        <w:ind w:left="2880" w:hanging="360"/>
      </w:pPr>
    </w:lvl>
    <w:lvl w:ilvl="4">
      <w:start w:val="2"/>
      <w:numFmt w:val="decimal"/>
      <w:lvlText w:val="%5."/>
      <w:lvlJc w:val="left"/>
      <w:pPr>
        <w:tabs>
          <w:tab w:val="num" w:pos="3600"/>
        </w:tabs>
        <w:ind w:left="3600" w:hanging="360"/>
      </w:pPr>
    </w:lvl>
    <w:lvl w:ilvl="5">
      <w:start w:val="2"/>
      <w:numFmt w:val="decimal"/>
      <w:lvlText w:val="%6."/>
      <w:lvlJc w:val="left"/>
      <w:pPr>
        <w:tabs>
          <w:tab w:val="num" w:pos="4320"/>
        </w:tabs>
        <w:ind w:left="4320" w:hanging="360"/>
      </w:pPr>
    </w:lvl>
    <w:lvl w:ilvl="6">
      <w:start w:val="2"/>
      <w:numFmt w:val="decimal"/>
      <w:lvlText w:val="%7."/>
      <w:lvlJc w:val="left"/>
      <w:pPr>
        <w:tabs>
          <w:tab w:val="num" w:pos="5040"/>
        </w:tabs>
        <w:ind w:left="5040" w:hanging="360"/>
      </w:pPr>
    </w:lvl>
    <w:lvl w:ilvl="7">
      <w:start w:val="2"/>
      <w:numFmt w:val="decimal"/>
      <w:lvlText w:val="%8."/>
      <w:lvlJc w:val="left"/>
      <w:pPr>
        <w:tabs>
          <w:tab w:val="num" w:pos="5760"/>
        </w:tabs>
        <w:ind w:left="5760" w:hanging="360"/>
      </w:pPr>
    </w:lvl>
    <w:lvl w:ilvl="8">
      <w:start w:val="2"/>
      <w:numFmt w:val="decimal"/>
      <w:lvlText w:val="%9."/>
      <w:lvlJc w:val="left"/>
      <w:pPr>
        <w:tabs>
          <w:tab w:val="num" w:pos="6480"/>
        </w:tabs>
        <w:ind w:left="6480" w:hanging="360"/>
      </w:pPr>
    </w:lvl>
  </w:abstractNum>
  <w:abstractNum w:abstractNumId="3">
    <w:lvl w:ilvl="0">
      <w:start w:val="3"/>
      <w:numFmt w:val="decimal"/>
      <w:lvlText w:val="%1."/>
      <w:lvlJc w:val="left"/>
      <w:pPr>
        <w:tabs>
          <w:tab w:val="num" w:pos="720"/>
        </w:tabs>
        <w:ind w:left="720" w:hanging="360"/>
      </w:pPr>
    </w:lvl>
    <w:lvl w:ilvl="1">
      <w:start w:val="3"/>
      <w:numFmt w:val="decimal"/>
      <w:lvlText w:val="%2."/>
      <w:lvlJc w:val="left"/>
      <w:pPr>
        <w:tabs>
          <w:tab w:val="num" w:pos="1440"/>
        </w:tabs>
        <w:ind w:left="1440" w:hanging="360"/>
      </w:pPr>
    </w:lvl>
    <w:lvl w:ilvl="2">
      <w:start w:val="3"/>
      <w:numFmt w:val="decimal"/>
      <w:lvlText w:val="%3."/>
      <w:lvlJc w:val="left"/>
      <w:pPr>
        <w:tabs>
          <w:tab w:val="num" w:pos="2160"/>
        </w:tabs>
        <w:ind w:left="2160" w:hanging="360"/>
      </w:pPr>
    </w:lvl>
    <w:lvl w:ilvl="3">
      <w:start w:val="3"/>
      <w:numFmt w:val="decimal"/>
      <w:lvlText w:val="%4."/>
      <w:lvlJc w:val="left"/>
      <w:pPr>
        <w:tabs>
          <w:tab w:val="num" w:pos="2880"/>
        </w:tabs>
        <w:ind w:left="2880" w:hanging="360"/>
      </w:pPr>
    </w:lvl>
    <w:lvl w:ilvl="4">
      <w:start w:val="3"/>
      <w:numFmt w:val="decimal"/>
      <w:lvlText w:val="%5."/>
      <w:lvlJc w:val="left"/>
      <w:pPr>
        <w:tabs>
          <w:tab w:val="num" w:pos="3600"/>
        </w:tabs>
        <w:ind w:left="3600" w:hanging="360"/>
      </w:pPr>
    </w:lvl>
    <w:lvl w:ilvl="5">
      <w:start w:val="3"/>
      <w:numFmt w:val="decimal"/>
      <w:lvlText w:val="%6."/>
      <w:lvlJc w:val="left"/>
      <w:pPr>
        <w:tabs>
          <w:tab w:val="num" w:pos="4320"/>
        </w:tabs>
        <w:ind w:left="4320" w:hanging="360"/>
      </w:pPr>
    </w:lvl>
    <w:lvl w:ilvl="6">
      <w:start w:val="3"/>
      <w:numFmt w:val="decimal"/>
      <w:lvlText w:val="%7."/>
      <w:lvlJc w:val="left"/>
      <w:pPr>
        <w:tabs>
          <w:tab w:val="num" w:pos="5040"/>
        </w:tabs>
        <w:ind w:left="5040" w:hanging="360"/>
      </w:pPr>
    </w:lvl>
    <w:lvl w:ilvl="7">
      <w:start w:val="3"/>
      <w:numFmt w:val="decimal"/>
      <w:lvlText w:val="%8."/>
      <w:lvlJc w:val="left"/>
      <w:pPr>
        <w:tabs>
          <w:tab w:val="num" w:pos="5760"/>
        </w:tabs>
        <w:ind w:left="5760" w:hanging="360"/>
      </w:pPr>
    </w:lvl>
    <w:lvl w:ilvl="8">
      <w:start w:val="3"/>
      <w:numFmt w:val="decimal"/>
      <w:lvlText w:val="%9."/>
      <w:lvlJc w:val="left"/>
      <w:pPr>
        <w:tabs>
          <w:tab w:val="num" w:pos="6480"/>
        </w:tabs>
        <w:ind w:left="6480" w:hanging="360"/>
      </w:pPr>
    </w:lvl>
  </w:abstractNum>
  <w:num w:numId="1">
    <w:abstractNumId w:val="1"/>
  </w:num>
  <w:num w:numId="2">
    <w:abstractNumId w:val="2"/>
  </w:num>
  <w:num w:numId="3">
    <w:abstractNumId w:val="3"/>
  </w:num>
</w:numbering>
</file>

<file path=word/settings.xml><?xml version="1.0" encoding="utf-8"?>
<w:settings xmlns:w="http://schemas.openxmlformats.org/wordprocessingml/2006/main" xmlns:o="urn:schemas-microsoft-com:office:office" xmlns:r="http://schemas.openxmlformats.org/officeDocument/2006/relationships" xmlns:v="urn:schemas-microsoft-com:vml" xmlns:w10="urn:schemas-microsoft-com:office:word" xmlns:sl="http://schemas.openxmlformats.org/schemaLibrary/2006/main">
  <w:zoom w:percent="100"/>
  <w:defaultTabStop w:val="720"/>
  <w:decimalSymbol w:val="."/>
  <w:listSeparator w:val=","/>
</w:settings>
</file>

<file path=word/styles.xml><?xml version="1.0" encoding="utf-8"?>
<w:styles xmlns:w="http://schemas.openxmlformats.org/wordprocessingml/2006/main" xmlns:r="http://schemas.openxmlformats.org/officeDocument/2006/relationships">
  <w:docDefaults>
    <w:rPrDefault>
      <w:rPr>
        <w:rFonts w:ascii="Calibri" w:eastAsiaTheme="minorHAnsi" w:hAnsiTheme="minorHAnsi" w:cstheme="minorBidi"/>
        <w:sz w:val="22"/>
        <w:szCs w:val="22"/>
        <w:lang w:val="en-US" w:eastAsia="en-US" w:bidi="ar-SA"/>
      </w:rPr>
    </w:rPrDefault>
    <w:pPrDefault>
      <w:pPr>
        <w:spacing w:after="120" w:line="240" w:lineRule="atLeast"/>
      </w:pPr>
    </w:pPrDefault>
  </w:docDefaults>
  <w:style w:type="paragraph" w:styleId="Normal" w:default="1">
    <w:name w:val="normal"/>
  </w:style>
  <w:style w:type="character" w:styleId="Hyperlink">
    <w:name w:val="Hyperlink"/>
    <w:rPr>
      <w:color w:val="0000FF"/>
      <w:u w:val="single"/>
    </w:rPr>
  </w:style>
  <w:style w:type="paragraph" w:styleId="Heading1">
    <w:name w:val="heading 1"/>
    <w:basedOn w:val="Normal"/>
    <w:next w:val="Normal"/>
    <w:uiPriority w:val="9"/>
    <w:qFormat/>
    <w:pPr>
      <w:keepNext/>
      <w:keepLines/>
      <w:spacing w:before="480" w:after="0"/>
      <w:outlineLvl w:val="0"/>
    </w:pPr>
    <w:rPr>
      <w:b/>
      <w:sz w:val="48"/>
      <w:szCs w:val="48"/>
    </w:rPr>
  </w:style>
  <w:style w:type="paragraph" w:styleId="Heading2">
    <w:name w:val="heading 2"/>
    <w:basedOn w:val="Normal"/>
    <w:next w:val="Normal"/>
    <w:uiPriority w:val="9"/>
    <w:unhideWhenUsed/>
    <w:qFormat/>
    <w:pPr>
      <w:keepNext/>
      <w:keepLines/>
      <w:spacing w:before="360" w:after="80"/>
      <w:outlineLvl w:val="1"/>
    </w:pPr>
    <w:rPr>
      <w:b/>
      <w:sz w:val="36"/>
      <w:szCs w:val="36"/>
    </w:rPr>
  </w:style>
  <w:style w:type="paragraph" w:styleId="Heading3">
    <w:name w:val="heading 3"/>
    <w:basedOn w:val="Normal"/>
    <w:next w:val="Normal"/>
    <w:uiPriority w:val="9"/>
    <w:semiHidden/>
    <w:unhideWhenUsed/>
    <w:qFormat/>
    <w:pPr>
      <w:keepNext/>
      <w:keepLines/>
      <w:spacing w:before="280" w:after="80"/>
      <w:outlineLvl w:val="2"/>
    </w:pPr>
    <w:rPr>
      <w:b/>
      <w:sz w:val="28"/>
      <w:szCs w:val="28"/>
    </w:rPr>
  </w:style>
  <w:style w:type="paragraph" w:styleId="Heading4">
    <w:name w:val="heading 4"/>
    <w:basedOn w:val="Normal"/>
    <w:next w:val="Normal"/>
    <w:uiPriority w:val="9"/>
    <w:semiHidden/>
    <w:unhideWhenUsed/>
    <w:qFormat/>
    <w:pPr>
      <w:keepNext/>
      <w:keepLines/>
      <w:spacing w:before="240" w:after="40"/>
      <w:outlineLvl w:val="3"/>
    </w:pPr>
    <w:rPr>
      <w:b/>
      <w:sz w:val="24"/>
      <w:szCs w:val="24"/>
    </w:rPr>
  </w:style>
  <w:style w:type="paragraph" w:styleId="Heading5">
    <w:name w:val="heading 5"/>
    <w:basedOn w:val="Normal"/>
    <w:next w:val="Normal"/>
    <w:uiPriority w:val="9"/>
    <w:semiHidden/>
    <w:unhideWhenUsed/>
    <w:qFormat/>
    <w:pPr>
      <w:keepNext/>
      <w:keepLines/>
      <w:spacing w:before="220" w:after="40"/>
      <w:outlineLvl w:val="4"/>
    </w:pPr>
    <w:rPr>
      <w:b/>
    </w:rPr>
  </w:style>
  <w:style w:type="paragraph" w:styleId="Heading6">
    <w:name w:val="heading 6"/>
    <w:basedOn w:val="Normal"/>
    <w:next w:val="Normal"/>
    <w:uiPriority w:val="9"/>
    <w:semiHidden/>
    <w:unhideWhenUsed/>
    <w:qFormat/>
    <w:pPr>
      <w:keepNext/>
      <w:keepLines/>
      <w:spacing w:before="200" w:after="40"/>
      <w:outlineLvl w:val="5"/>
    </w:pPr>
    <w:rPr>
      <w:b/>
      <w:sz w:val="20"/>
      <w:szCs w:val="20"/>
    </w:rPr>
  </w:style>
</w:styles>
</file>

<file path=word/webSettings.xml><?xml version="1.0" encoding="utf-8"?>
<w:webSettings xmlns:w="http://schemas.openxmlformats.org/wordprocessingml/2006/main" xmlns:r="http://schemas.openxmlformats.org/officeDocument/2006/relationships"/>
</file>

<file path=word/_rels/document.xml.rels><?xml version="1.0" encoding="UTF-8" standalone="yes"?>
<Relationships xmlns="http://schemas.openxmlformats.org/package/2006/relationships">
  <Relationship Id="rId1" Type="http://schemas.openxmlformats.org/officeDocument/2006/relationships/numbering" Target="numbering.xml"/>
  <Relationship Id="rId2" Type="http://schemas.openxmlformats.org/officeDocument/2006/relationships/styles" Target="styles.xml"/>
  <Relationship Id="rId3" Type="http://schemas.openxmlformats.org/officeDocument/2006/relationships/settings" Target="settings.xml"/>
  <Relationship Id="rId4" Type="http://schemas.openxmlformats.org/officeDocument/2006/relationships/webSettings" Target="webSettings.xml"/>
  <Relationship Id="rId5" Type="http://schemas.openxmlformats.org/officeDocument/2006/relationships/fontTable" Target="fontTable.xml"/>
  <Relationship Id="rId6" Type="http://schemas.openxmlformats.org/officeDocument/2006/relationships/hyperlink" Target="http://docvora.com" TargetMode="External"/>
  <Relationship Id="rId7" Type="http://schemas.openxmlformats.org/officeDocument/2006/relationships/hyperlink" Target="https://weblutions.com/i/6oaig1.png" TargetMode="External"/>
  <Relationship Id="rId8" Type="http://schemas.openxmlformats.org/officeDocument/2006/relationships/hyperlink" Target="https://docvora.com/contact" TargetMode="External"/>
  <Relationship Id="rId9" Type="http://schemas.openxmlformats.org/officeDocument/2006/relationships/footer" Target="footer1.xml" TargetMode="Internal"/>
  <Relationship Id="rId10" Type="http://schemas.openxmlformats.org/officeDocument/2006/relationships/theme" Target="theme/theme1.xml" TargetMode="Interna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a:ea typeface="Calibri"/>
        <a:cs typeface=""/>
      </a:majorFont>
      <a:minorFont>
        <a:latin typeface="Calibri"/>
        <a:ea typeface="Calibri"/>
        <a:cs typeface=""/>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theme>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Custom Domains</dc:title>
  <dc:subject>Docvora allows custom domains to be used on its Pro and Enterprise plans. This way Docvora customers don't have to use the Docvora domains. This page covers the configuration of Custom Domains.
Custom Domain Setup
To configure custom domains the below addresses and records need to be set for the domain.
Configure a DNS record with the below data.
Record Type
A Record
Host
@
Content / Data / Value
67.227.64.22
Priority / TTL
(Leave as default)
The Content IP address may differ depending on the proxy your instance is on. A different address may appear on the Docvora site when changing the domain.
Save the DNS configuration.
Next login to docvora.com and navigate to your instance to configure the new domain.
Check the 'Use Custom Domain' box.
Enter your domain to configure to Docvora.
Click save and wait up to 20 minutes for Docvora to update the domain.
Setting the new domain may take extra time if the newly created DNS records have not propagated yet.
Please contact Docvora support if the time has been extensive for the change.</dc:subject>
  <dc:creator>Docvora Documentation</dc:creator>
  <cp:keywords/>
  <dc:description/>
  <cp:lastModifiedBy>Docvora Documentation</cp:lastModifiedBy>
  <cp:revision>1</cp:revision>
  <dcterms:created xsi:type="dcterms:W3CDTF">2026-11-03T13:14:22.482Z</dcterms:created>
  <dcterms:modified xsi:type="dcterms:W3CDTF">2026-11-03T13:14:22.482Z</dcterms:modified>
</cp:coreProperties>
</file>